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w:t>
      </w:r>
      <w:r w:rsidR="00996F0C">
        <w:rPr>
          <w:rFonts w:ascii="PT Astra Serif" w:hAnsi="PT Astra Serif"/>
          <w:b/>
          <w:sz w:val="24"/>
          <w:szCs w:val="24"/>
        </w:rPr>
        <w:br/>
      </w:r>
      <w:r w:rsidRPr="00A518BB">
        <w:rPr>
          <w:rFonts w:ascii="PT Astra Serif" w:hAnsi="PT Astra Serif"/>
          <w:b/>
          <w:sz w:val="24"/>
          <w:szCs w:val="24"/>
        </w:rPr>
        <w:t xml:space="preserve">на право заключения договора о комплексном развитии </w:t>
      </w:r>
      <w:r w:rsidR="007A212F">
        <w:rPr>
          <w:rFonts w:ascii="PT Astra Serif" w:hAnsi="PT Astra Serif"/>
          <w:b/>
          <w:sz w:val="24"/>
          <w:szCs w:val="24"/>
        </w:rPr>
        <w:t xml:space="preserve">незастроенной </w:t>
      </w:r>
      <w:r w:rsidRPr="00A518BB">
        <w:rPr>
          <w:rFonts w:ascii="PT Astra Serif" w:hAnsi="PT Astra Serif"/>
          <w:b/>
          <w:sz w:val="24"/>
          <w:szCs w:val="24"/>
        </w:rPr>
        <w:t>территории</w:t>
      </w:r>
      <w:r w:rsidR="007A212F">
        <w:rPr>
          <w:rFonts w:ascii="PT Astra Serif" w:hAnsi="PT Astra Serif"/>
          <w:b/>
          <w:sz w:val="24"/>
          <w:szCs w:val="24"/>
        </w:rPr>
        <w:t xml:space="preserve"> </w:t>
      </w:r>
      <w:r w:rsidR="00996F0C">
        <w:rPr>
          <w:rFonts w:ascii="PT Astra Serif" w:hAnsi="PT Astra Serif"/>
          <w:b/>
          <w:sz w:val="24"/>
          <w:szCs w:val="24"/>
        </w:rPr>
        <w:br/>
      </w:r>
      <w:r w:rsidR="007A212F">
        <w:rPr>
          <w:rFonts w:ascii="PT Astra Serif" w:hAnsi="PT Astra Serif"/>
          <w:b/>
          <w:sz w:val="24"/>
          <w:szCs w:val="24"/>
        </w:rPr>
        <w:t xml:space="preserve">в районе </w:t>
      </w:r>
      <w:r w:rsidR="00E7574A">
        <w:rPr>
          <w:rFonts w:ascii="PT Astra Serif" w:hAnsi="PT Astra Serif"/>
          <w:b/>
          <w:sz w:val="24"/>
          <w:szCs w:val="24"/>
        </w:rPr>
        <w:t xml:space="preserve">Венёвского шоссе и улицы Сызранская </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w:t>
      </w:r>
      <w:r w:rsidR="007A212F">
        <w:rPr>
          <w:rFonts w:ascii="PT Astra Serif" w:hAnsi="PT Astra Serif"/>
          <w:sz w:val="24"/>
          <w:szCs w:val="24"/>
        </w:rPr>
        <w:t xml:space="preserve">незастроенной территории в районе </w:t>
      </w:r>
      <w:r w:rsidR="00E7574A">
        <w:rPr>
          <w:rFonts w:ascii="PT Astra Serif" w:hAnsi="PT Astra Serif"/>
          <w:sz w:val="24"/>
          <w:szCs w:val="24"/>
        </w:rPr>
        <w:t>Венёвского шоссе и улицы Сызранская</w:t>
      </w:r>
      <w:r>
        <w:rPr>
          <w:rFonts w:ascii="PT Astra Serif" w:hAnsi="PT Astra Serif"/>
          <w:sz w:val="24"/>
          <w:szCs w:val="24"/>
        </w:rPr>
        <w:t>,</w:t>
      </w:r>
      <w:r w:rsidR="00C27451">
        <w:rPr>
          <w:rFonts w:ascii="PT Astra Serif" w:hAnsi="PT Astra Serif"/>
          <w:sz w:val="24"/>
          <w:szCs w:val="24"/>
        </w:rPr>
        <w:t xml:space="preserve"> проводя</w:t>
      </w:r>
      <w:r w:rsidR="00451C84" w:rsidRPr="00A518BB">
        <w:rPr>
          <w:rFonts w:ascii="PT Astra Serif" w:hAnsi="PT Astra Serif"/>
          <w:sz w:val="24"/>
          <w:szCs w:val="24"/>
        </w:rPr>
        <w:t xml:space="preserve">тся в электронной форме </w:t>
      </w:r>
      <w:r w:rsidR="00E7574A">
        <w:rPr>
          <w:rFonts w:ascii="PT Astra Serif" w:hAnsi="PT Astra Serif"/>
          <w:sz w:val="24"/>
          <w:szCs w:val="24"/>
        </w:rPr>
        <w:br/>
      </w:r>
      <w:r w:rsidR="00451C84" w:rsidRPr="00A518BB">
        <w:rPr>
          <w:rFonts w:ascii="PT Astra Serif" w:hAnsi="PT Astra Serif"/>
          <w:sz w:val="24"/>
          <w:szCs w:val="24"/>
        </w:rPr>
        <w:t>в соответствии</w:t>
      </w:r>
      <w:r w:rsidR="00E7574A">
        <w:rPr>
          <w:rFonts w:ascii="PT Astra Serif" w:hAnsi="PT Astra Serif"/>
          <w:sz w:val="24"/>
          <w:szCs w:val="24"/>
        </w:rPr>
        <w:t xml:space="preserve"> с </w:t>
      </w:r>
      <w:r w:rsidR="000F32E1" w:rsidRPr="00A518BB">
        <w:rPr>
          <w:rFonts w:ascii="PT Astra Serif" w:hAnsi="PT Astra Serif"/>
          <w:sz w:val="24"/>
          <w:szCs w:val="24"/>
        </w:rPr>
        <w:t>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 управления</w:t>
      </w:r>
      <w:r w:rsidR="007A212F">
        <w:rPr>
          <w:rFonts w:ascii="PT Astra Serif" w:hAnsi="PT Astra Serif"/>
          <w:sz w:val="24"/>
          <w:szCs w:val="24"/>
        </w:rPr>
        <w:t xml:space="preserve"> – главный архитектор управления</w:t>
      </w:r>
      <w:r w:rsidRPr="000463A1">
        <w:rPr>
          <w:rFonts w:ascii="PT Astra Serif" w:hAnsi="PT Astra Serif"/>
          <w:sz w:val="24"/>
          <w:szCs w:val="24"/>
        </w:rPr>
        <w:t xml:space="preserve"> градостроительства и архитектуры города Тулы</w:t>
      </w:r>
      <w:r w:rsidR="004700C3" w:rsidRPr="000463A1">
        <w:rPr>
          <w:rFonts w:ascii="PT Astra Serif" w:hAnsi="PT Astra Serif"/>
          <w:sz w:val="24"/>
          <w:szCs w:val="24"/>
        </w:rPr>
        <w:t xml:space="preserve">; Камерилова Наталья Андреевна – </w:t>
      </w:r>
      <w:r w:rsidR="007A212F">
        <w:rPr>
          <w:rFonts w:ascii="PT Astra Serif" w:hAnsi="PT Astra Serif"/>
          <w:sz w:val="24"/>
          <w:szCs w:val="24"/>
        </w:rPr>
        <w:t>начальник отдела комплексного развития территории</w:t>
      </w:r>
      <w:r w:rsidR="004700C3" w:rsidRPr="000463A1">
        <w:rPr>
          <w:rFonts w:ascii="PT Astra Serif" w:hAnsi="PT Astra Serif"/>
          <w:sz w:val="24"/>
          <w:szCs w:val="24"/>
        </w:rPr>
        <w:t xml:space="preserve"> 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891A22">
        <w:rPr>
          <w:rFonts w:ascii="PT Astra Serif" w:hAnsi="PT Astra Serif"/>
          <w:sz w:val="24"/>
          <w:szCs w:val="24"/>
        </w:rPr>
        <w:t xml:space="preserve">от </w:t>
      </w:r>
      <w:r w:rsidR="00FD351A" w:rsidRPr="00FD351A">
        <w:rPr>
          <w:rFonts w:ascii="PT Astra Serif" w:hAnsi="PT Astra Serif"/>
          <w:sz w:val="24"/>
          <w:szCs w:val="24"/>
        </w:rPr>
        <w:t>18.07.2025</w:t>
      </w:r>
      <w:r w:rsidR="00431E58" w:rsidRPr="00FD351A">
        <w:rPr>
          <w:rFonts w:ascii="PT Astra Serif" w:hAnsi="PT Astra Serif"/>
          <w:sz w:val="24"/>
          <w:szCs w:val="24"/>
        </w:rPr>
        <w:t xml:space="preserve"> №1/</w:t>
      </w:r>
      <w:r w:rsidR="00FD351A" w:rsidRPr="00FD351A">
        <w:rPr>
          <w:rFonts w:ascii="PT Astra Serif" w:hAnsi="PT Astra Serif"/>
          <w:sz w:val="24"/>
          <w:szCs w:val="24"/>
        </w:rPr>
        <w:t>5848</w:t>
      </w:r>
      <w:r w:rsidR="00431E58" w:rsidRPr="00FD351A">
        <w:rPr>
          <w:rFonts w:ascii="PT Astra Serif" w:hAnsi="PT Astra Serif"/>
          <w:sz w:val="24"/>
          <w:szCs w:val="24"/>
        </w:rPr>
        <w:t xml:space="preserve">-р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DC4494">
        <w:rPr>
          <w:rFonts w:ascii="PT Astra Serif" w:hAnsi="PT Astra Serif"/>
          <w:sz w:val="24"/>
          <w:szCs w:val="24"/>
          <w:lang w:eastAsia="ru-RU"/>
        </w:rPr>
        <w:br/>
      </w:r>
      <w:r w:rsidRPr="00891A22">
        <w:rPr>
          <w:rFonts w:ascii="PT Astra Serif" w:hAnsi="PT Astra Serif"/>
          <w:sz w:val="24"/>
          <w:szCs w:val="24"/>
          <w:lang w:eastAsia="ru-RU"/>
        </w:rPr>
        <w:t xml:space="preserve">на право заключения договора о комплексном развитии </w:t>
      </w:r>
      <w:r w:rsidR="007A212F">
        <w:rPr>
          <w:rFonts w:ascii="PT Astra Serif" w:hAnsi="PT Astra Serif"/>
          <w:sz w:val="24"/>
          <w:szCs w:val="24"/>
          <w:lang w:eastAsia="ru-RU"/>
        </w:rPr>
        <w:t xml:space="preserve">незастроенной </w:t>
      </w:r>
      <w:r w:rsidRPr="00891A22">
        <w:rPr>
          <w:rFonts w:ascii="PT Astra Serif" w:hAnsi="PT Astra Serif"/>
          <w:sz w:val="24"/>
          <w:szCs w:val="24"/>
          <w:lang w:eastAsia="ru-RU"/>
        </w:rPr>
        <w:t>территории</w:t>
      </w:r>
      <w:r w:rsidR="007A212F">
        <w:rPr>
          <w:rFonts w:ascii="PT Astra Serif" w:hAnsi="PT Astra Serif"/>
          <w:sz w:val="24"/>
          <w:szCs w:val="24"/>
          <w:lang w:eastAsia="ru-RU"/>
        </w:rPr>
        <w:t xml:space="preserve"> в районе </w:t>
      </w:r>
      <w:r w:rsidR="00E7574A">
        <w:rPr>
          <w:rFonts w:ascii="PT Astra Serif" w:hAnsi="PT Astra Serif"/>
          <w:sz w:val="24"/>
          <w:szCs w:val="24"/>
          <w:lang w:eastAsia="ru-RU"/>
        </w:rPr>
        <w:t>Венёвского шоссе и улицы Сызранская</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7137C6">
        <w:rPr>
          <w:rFonts w:ascii="PT Astra Serif" w:hAnsi="PT Astra Serif"/>
          <w:sz w:val="24"/>
          <w:szCs w:val="24"/>
        </w:rPr>
        <w:t>«</w:t>
      </w:r>
      <w:r w:rsidR="007137C6" w:rsidRPr="007137C6">
        <w:rPr>
          <w:rFonts w:ascii="PT Astra Serif" w:hAnsi="PT Astra Serif"/>
          <w:sz w:val="24"/>
          <w:szCs w:val="24"/>
        </w:rPr>
        <w:t>22</w:t>
      </w:r>
      <w:r w:rsidR="00EF04F0" w:rsidRPr="007137C6">
        <w:rPr>
          <w:rFonts w:ascii="PT Astra Serif" w:hAnsi="PT Astra Serif"/>
          <w:sz w:val="24"/>
          <w:szCs w:val="24"/>
        </w:rPr>
        <w:t xml:space="preserve">» </w:t>
      </w:r>
      <w:r w:rsidR="007137C6" w:rsidRPr="007137C6">
        <w:rPr>
          <w:rFonts w:ascii="PT Astra Serif" w:hAnsi="PT Astra Serif"/>
          <w:sz w:val="24"/>
          <w:szCs w:val="24"/>
        </w:rPr>
        <w:t>июля</w:t>
      </w:r>
      <w:r w:rsidR="00172F95" w:rsidRPr="007137C6">
        <w:rPr>
          <w:rFonts w:ascii="PT Astra Serif" w:hAnsi="PT Astra Serif"/>
          <w:sz w:val="24"/>
          <w:szCs w:val="24"/>
        </w:rPr>
        <w:t xml:space="preserve"> 2025</w:t>
      </w:r>
      <w:r w:rsidR="00EF04F0" w:rsidRPr="007137C6">
        <w:rPr>
          <w:rFonts w:ascii="PT Astra Serif" w:hAnsi="PT Astra Serif"/>
          <w:sz w:val="24"/>
          <w:szCs w:val="24"/>
        </w:rPr>
        <w:t xml:space="preserve"> года в 9 час. 00 мин.</w:t>
      </w:r>
      <w:r w:rsidR="009A2A36" w:rsidRPr="007137C6">
        <w:rPr>
          <w:rFonts w:ascii="PT Astra Serif" w:hAnsi="PT Astra Serif"/>
          <w:sz w:val="24"/>
          <w:szCs w:val="24"/>
        </w:rPr>
        <w:t xml:space="preserve"> </w:t>
      </w:r>
      <w:r w:rsidR="00DC4494" w:rsidRPr="007137C6">
        <w:rPr>
          <w:rFonts w:ascii="PT Astra Serif" w:hAnsi="PT Astra Serif"/>
          <w:sz w:val="24"/>
          <w:szCs w:val="24"/>
        </w:rPr>
        <w:br/>
      </w:r>
      <w:r w:rsidR="009A2A36" w:rsidRPr="007137C6">
        <w:rPr>
          <w:rFonts w:ascii="PT Astra Serif" w:hAnsi="PT Astra Serif"/>
          <w:sz w:val="24"/>
          <w:szCs w:val="24"/>
        </w:rPr>
        <w:t>по московскому времени.</w:t>
      </w:r>
      <w:r w:rsidR="00EF04F0" w:rsidRPr="007137C6">
        <w:rPr>
          <w:rFonts w:ascii="PT Astra Serif" w:hAnsi="PT Astra Serif"/>
          <w:sz w:val="24"/>
          <w:szCs w:val="24"/>
        </w:rPr>
        <w:t xml:space="preserve"> Прием Заявок осуществляется круглосуточно</w:t>
      </w:r>
      <w:r w:rsidR="00EF04F0" w:rsidRPr="000463A1">
        <w:rPr>
          <w:rFonts w:ascii="PT Astra Serif" w:hAnsi="PT Astra Serif"/>
          <w:sz w:val="24"/>
          <w:szCs w:val="24"/>
        </w:rPr>
        <w:t>.</w:t>
      </w:r>
    </w:p>
    <w:p w:rsidR="009A2A36" w:rsidRPr="007137C6"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7137C6">
        <w:rPr>
          <w:rFonts w:ascii="PT Astra Serif" w:hAnsi="PT Astra Serif"/>
          <w:sz w:val="24"/>
          <w:szCs w:val="24"/>
        </w:rPr>
        <w:t>«</w:t>
      </w:r>
      <w:r w:rsidR="0024524E" w:rsidRPr="007137C6">
        <w:rPr>
          <w:rFonts w:ascii="PT Astra Serif" w:hAnsi="PT Astra Serif"/>
          <w:sz w:val="24"/>
          <w:szCs w:val="24"/>
        </w:rPr>
        <w:t>1</w:t>
      </w:r>
      <w:r w:rsidR="007137C6" w:rsidRPr="007137C6">
        <w:rPr>
          <w:rFonts w:ascii="PT Astra Serif" w:hAnsi="PT Astra Serif"/>
          <w:sz w:val="24"/>
          <w:szCs w:val="24"/>
        </w:rPr>
        <w:t>7</w:t>
      </w:r>
      <w:r w:rsidRPr="007137C6">
        <w:rPr>
          <w:rFonts w:ascii="PT Astra Serif" w:hAnsi="PT Astra Serif"/>
          <w:sz w:val="24"/>
          <w:szCs w:val="24"/>
        </w:rPr>
        <w:t>»</w:t>
      </w:r>
      <w:r w:rsidR="007137C6" w:rsidRPr="007137C6">
        <w:rPr>
          <w:rFonts w:ascii="PT Astra Serif" w:hAnsi="PT Astra Serif"/>
          <w:sz w:val="24"/>
          <w:szCs w:val="24"/>
        </w:rPr>
        <w:t xml:space="preserve"> августа</w:t>
      </w:r>
      <w:r w:rsidR="00DC136C" w:rsidRPr="007137C6">
        <w:rPr>
          <w:rFonts w:ascii="PT Astra Serif" w:hAnsi="PT Astra Serif"/>
          <w:sz w:val="24"/>
          <w:szCs w:val="24"/>
        </w:rPr>
        <w:t xml:space="preserve"> 2025</w:t>
      </w:r>
      <w:r w:rsidRPr="007137C6">
        <w:rPr>
          <w:rFonts w:ascii="PT Astra Serif" w:hAnsi="PT Astra Serif"/>
          <w:sz w:val="24"/>
          <w:szCs w:val="24"/>
        </w:rPr>
        <w:t xml:space="preserve"> года в 17 час. 00 мин. 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DC4494">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7A212F" w:rsidRDefault="00DC136C" w:rsidP="009A2A36">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B518FD">
        <w:rPr>
          <w:rFonts w:ascii="PT Astra Serif" w:hAnsi="PT Astra Serif"/>
          <w:sz w:val="24"/>
          <w:szCs w:val="24"/>
        </w:rPr>
        <w:t>«</w:t>
      </w:r>
      <w:r w:rsidR="0024524E" w:rsidRPr="00B518FD">
        <w:rPr>
          <w:rFonts w:ascii="PT Astra Serif" w:hAnsi="PT Astra Serif"/>
          <w:sz w:val="24"/>
          <w:szCs w:val="24"/>
        </w:rPr>
        <w:t>1</w:t>
      </w:r>
      <w:r w:rsidR="00B518FD" w:rsidRPr="00B518FD">
        <w:rPr>
          <w:rFonts w:ascii="PT Astra Serif" w:hAnsi="PT Astra Serif"/>
          <w:sz w:val="24"/>
          <w:szCs w:val="24"/>
        </w:rPr>
        <w:t>9</w:t>
      </w:r>
      <w:r w:rsidRPr="00B518FD">
        <w:rPr>
          <w:rFonts w:ascii="PT Astra Serif" w:hAnsi="PT Astra Serif"/>
          <w:sz w:val="24"/>
          <w:szCs w:val="24"/>
        </w:rPr>
        <w:t xml:space="preserve">» </w:t>
      </w:r>
      <w:r w:rsidR="00B518FD" w:rsidRPr="00B518FD">
        <w:rPr>
          <w:rFonts w:ascii="PT Astra Serif" w:hAnsi="PT Astra Serif"/>
          <w:sz w:val="24"/>
          <w:szCs w:val="24"/>
        </w:rPr>
        <w:t>августа</w:t>
      </w:r>
      <w:r w:rsidRPr="00B518FD">
        <w:rPr>
          <w:rFonts w:ascii="PT Astra Serif" w:hAnsi="PT Astra Serif"/>
          <w:sz w:val="24"/>
          <w:szCs w:val="24"/>
        </w:rPr>
        <w:t xml:space="preserve"> 2025 года</w:t>
      </w:r>
      <w:r w:rsidR="003E0A7D" w:rsidRPr="00B518FD">
        <w:rPr>
          <w:rFonts w:ascii="PT Astra Serif" w:hAnsi="PT Astra Serif"/>
          <w:sz w:val="24"/>
          <w:szCs w:val="24"/>
        </w:rPr>
        <w:t>.</w:t>
      </w:r>
    </w:p>
    <w:p w:rsidR="003E0A7D" w:rsidRPr="00CF5FC8"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CF5FC8">
        <w:rPr>
          <w:rFonts w:ascii="PT Astra Serif" w:hAnsi="PT Astra Serif"/>
          <w:sz w:val="24"/>
          <w:szCs w:val="24"/>
        </w:rPr>
        <w:t>«</w:t>
      </w:r>
      <w:r w:rsidR="00CF5FC8" w:rsidRPr="00CF5FC8">
        <w:rPr>
          <w:rFonts w:ascii="PT Astra Serif" w:hAnsi="PT Astra Serif"/>
          <w:sz w:val="24"/>
          <w:szCs w:val="24"/>
        </w:rPr>
        <w:t>21</w:t>
      </w:r>
      <w:r w:rsidRPr="00CF5FC8">
        <w:rPr>
          <w:rFonts w:ascii="PT Astra Serif" w:hAnsi="PT Astra Serif"/>
          <w:sz w:val="24"/>
          <w:szCs w:val="24"/>
        </w:rPr>
        <w:t>»</w:t>
      </w:r>
      <w:r w:rsidR="00CE670B" w:rsidRPr="00CF5FC8">
        <w:rPr>
          <w:rFonts w:ascii="PT Astra Serif" w:hAnsi="PT Astra Serif"/>
          <w:sz w:val="24"/>
          <w:szCs w:val="24"/>
        </w:rPr>
        <w:t xml:space="preserve"> </w:t>
      </w:r>
      <w:r w:rsidR="00CF5FC8" w:rsidRPr="00CF5FC8">
        <w:rPr>
          <w:rFonts w:ascii="PT Astra Serif" w:hAnsi="PT Astra Serif"/>
          <w:sz w:val="24"/>
          <w:szCs w:val="24"/>
        </w:rPr>
        <w:t xml:space="preserve">августа </w:t>
      </w:r>
      <w:r w:rsidR="00CE670B" w:rsidRPr="00CF5FC8">
        <w:rPr>
          <w:rFonts w:ascii="PT Astra Serif" w:hAnsi="PT Astra Serif"/>
          <w:sz w:val="24"/>
          <w:szCs w:val="24"/>
        </w:rPr>
        <w:t xml:space="preserve">2025 года в 10 час. 00 мин </w:t>
      </w:r>
      <w:r w:rsidR="00DC4494" w:rsidRPr="00CF5FC8">
        <w:rPr>
          <w:rFonts w:ascii="PT Astra Serif" w:hAnsi="PT Astra Serif"/>
          <w:sz w:val="24"/>
          <w:szCs w:val="24"/>
        </w:rPr>
        <w:br/>
      </w:r>
      <w:r w:rsidR="00CE670B" w:rsidRPr="00CF5FC8">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Организатор аукциона вправе отказаться от проведения аукциона не позднее чем </w:t>
      </w:r>
      <w:r w:rsidR="00DC4494">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 xml:space="preserve">Извещение об отказе в проведении аукциона </w:t>
      </w:r>
      <w:r w:rsidRPr="000463A1">
        <w:rPr>
          <w:rFonts w:ascii="PT Astra Serif" w:hAnsi="PT Astra Serif"/>
          <w:bCs/>
          <w:sz w:val="24"/>
          <w:szCs w:val="24"/>
        </w:rPr>
        <w:lastRenderedPageBreak/>
        <w:t>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 xml:space="preserve">о комплексном развитии </w:t>
      </w:r>
      <w:r w:rsidR="007A212F">
        <w:rPr>
          <w:rFonts w:ascii="PT Astra Serif" w:hAnsi="PT Astra Serif"/>
          <w:sz w:val="24"/>
          <w:szCs w:val="24"/>
        </w:rPr>
        <w:t xml:space="preserve">незастроенной </w:t>
      </w:r>
      <w:r w:rsidRPr="000463A1">
        <w:rPr>
          <w:rFonts w:ascii="PT Astra Serif" w:hAnsi="PT Astra Serif"/>
          <w:sz w:val="24"/>
          <w:szCs w:val="24"/>
        </w:rPr>
        <w:t>территории</w:t>
      </w:r>
      <w:r w:rsidR="007A212F">
        <w:rPr>
          <w:rFonts w:ascii="PT Astra Serif" w:hAnsi="PT Astra Serif"/>
          <w:sz w:val="24"/>
          <w:szCs w:val="24"/>
        </w:rPr>
        <w:t xml:space="preserve"> в районе </w:t>
      </w:r>
      <w:r w:rsidR="00E7574A">
        <w:rPr>
          <w:rFonts w:ascii="PT Astra Serif" w:hAnsi="PT Astra Serif"/>
          <w:sz w:val="24"/>
          <w:szCs w:val="24"/>
        </w:rPr>
        <w:t>Венёвского шоссе и улицы Сызранская</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7A212F">
        <w:rPr>
          <w:rFonts w:ascii="PT Astra Serif" w:hAnsi="PT Astra Serif"/>
          <w:sz w:val="24"/>
          <w:szCs w:val="24"/>
        </w:rPr>
        <w:t>26.06.2025</w:t>
      </w:r>
      <w:r w:rsidRPr="00AF23FB">
        <w:rPr>
          <w:rFonts w:ascii="PT Astra Serif" w:hAnsi="PT Astra Serif"/>
          <w:sz w:val="24"/>
          <w:szCs w:val="24"/>
        </w:rPr>
        <w:t xml:space="preserve"> №</w:t>
      </w:r>
      <w:r w:rsidR="007A212F">
        <w:rPr>
          <w:rFonts w:ascii="PT Astra Serif" w:hAnsi="PT Astra Serif"/>
          <w:sz w:val="24"/>
          <w:szCs w:val="24"/>
        </w:rPr>
        <w:t>22</w:t>
      </w:r>
      <w:r w:rsidR="00E7574A">
        <w:rPr>
          <w:rFonts w:ascii="PT Astra Serif" w:hAnsi="PT Astra Serif"/>
          <w:sz w:val="24"/>
          <w:szCs w:val="24"/>
        </w:rPr>
        <w:t>6</w:t>
      </w:r>
      <w:r w:rsidR="001D7767" w:rsidRPr="00AF23FB">
        <w:rPr>
          <w:rFonts w:ascii="PT Astra Serif" w:hAnsi="PT Astra Serif"/>
          <w:sz w:val="24"/>
          <w:szCs w:val="24"/>
        </w:rPr>
        <w:t xml:space="preserve"> </w:t>
      </w:r>
      <w:r w:rsidRPr="00AF23FB">
        <w:rPr>
          <w:rFonts w:ascii="PT Astra Serif" w:hAnsi="PT Astra Serif"/>
          <w:sz w:val="24"/>
          <w:szCs w:val="24"/>
        </w:rPr>
        <w:t xml:space="preserve">«О комплексном развитии </w:t>
      </w:r>
      <w:r w:rsidR="0069606B">
        <w:rPr>
          <w:rFonts w:ascii="PT Astra Serif" w:hAnsi="PT Astra Serif"/>
          <w:sz w:val="24"/>
          <w:szCs w:val="24"/>
        </w:rPr>
        <w:t xml:space="preserve">незастроенной </w:t>
      </w:r>
      <w:r w:rsidRPr="00AF23FB">
        <w:rPr>
          <w:rFonts w:ascii="PT Astra Serif" w:hAnsi="PT Astra Serif"/>
          <w:sz w:val="24"/>
          <w:szCs w:val="24"/>
        </w:rPr>
        <w:t>территории</w:t>
      </w:r>
      <w:r w:rsidR="0069606B">
        <w:rPr>
          <w:rFonts w:ascii="PT Astra Serif" w:hAnsi="PT Astra Serif"/>
          <w:sz w:val="24"/>
          <w:szCs w:val="24"/>
        </w:rPr>
        <w:t xml:space="preserve"> в районе </w:t>
      </w:r>
      <w:r w:rsidR="00E7574A">
        <w:rPr>
          <w:rFonts w:ascii="PT Astra Serif" w:hAnsi="PT Astra Serif"/>
          <w:sz w:val="24"/>
          <w:szCs w:val="24"/>
        </w:rPr>
        <w:t>Венёвского шоссе и улицы Сызранская</w:t>
      </w:r>
      <w:r w:rsidRPr="00AF23FB">
        <w:rPr>
          <w:rFonts w:ascii="PT Astra Serif" w:hAnsi="PT Astra Serif"/>
          <w:sz w:val="24"/>
          <w:szCs w:val="24"/>
        </w:rPr>
        <w:t>»</w:t>
      </w:r>
      <w:r w:rsidR="0069606B">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 xml:space="preserve">Основные сведения о территории, в отношении которой заключается договор </w:t>
      </w:r>
      <w:r w:rsidR="00DC4494">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69606B">
        <w:rPr>
          <w:rFonts w:ascii="PT Astra Serif" w:hAnsi="PT Astra Serif"/>
          <w:sz w:val="24"/>
          <w:szCs w:val="24"/>
          <w:lang w:eastAsia="ru-RU"/>
        </w:rPr>
        <w:t>незастроенная т</w:t>
      </w:r>
      <w:r w:rsidR="00C652D1">
        <w:rPr>
          <w:rFonts w:ascii="PT Astra Serif" w:hAnsi="PT Astra Serif"/>
          <w:sz w:val="24"/>
          <w:szCs w:val="24"/>
          <w:lang w:eastAsia="ru-RU"/>
        </w:rPr>
        <w:t>ерритория</w:t>
      </w:r>
      <w:r w:rsidR="00DC1E1F" w:rsidRPr="00DC1E1F">
        <w:rPr>
          <w:rFonts w:ascii="PT Astra Serif" w:hAnsi="PT Astra Serif"/>
          <w:sz w:val="24"/>
          <w:szCs w:val="24"/>
          <w:lang w:eastAsia="ru-RU"/>
        </w:rPr>
        <w:t xml:space="preserve"> площадью </w:t>
      </w:r>
      <w:r w:rsidR="00E7574A">
        <w:rPr>
          <w:rFonts w:ascii="PT Astra Serif" w:hAnsi="PT Astra Serif"/>
          <w:sz w:val="24"/>
          <w:szCs w:val="24"/>
          <w:lang w:eastAsia="ru-RU"/>
        </w:rPr>
        <w:t>152812,35</w:t>
      </w:r>
      <w:r w:rsidR="0069606B">
        <w:rPr>
          <w:rFonts w:ascii="PT Astra Serif" w:hAnsi="PT Astra Serif"/>
          <w:sz w:val="24"/>
          <w:szCs w:val="24"/>
          <w:lang w:eastAsia="ru-RU"/>
        </w:rPr>
        <w:t xml:space="preserve"> </w:t>
      </w:r>
      <w:r w:rsidR="00DC1E1F" w:rsidRPr="00217104">
        <w:rPr>
          <w:rFonts w:ascii="PT Astra Serif" w:hAnsi="PT Astra Serif"/>
          <w:sz w:val="24"/>
          <w:szCs w:val="24"/>
        </w:rPr>
        <w:t>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 xml:space="preserve">в </w:t>
      </w:r>
      <w:r w:rsidR="0069606B">
        <w:rPr>
          <w:rFonts w:ascii="PT Astra Serif" w:hAnsi="PT Astra Serif"/>
          <w:sz w:val="24"/>
          <w:szCs w:val="24"/>
        </w:rPr>
        <w:t xml:space="preserve">районе </w:t>
      </w:r>
      <w:r w:rsidR="00E7574A">
        <w:rPr>
          <w:rFonts w:ascii="PT Astra Serif" w:hAnsi="PT Astra Serif"/>
          <w:sz w:val="24"/>
          <w:szCs w:val="24"/>
        </w:rPr>
        <w:t xml:space="preserve">Венёвского шоссе и улицы Сызранская </w:t>
      </w:r>
      <w:r w:rsidR="0069606B">
        <w:rPr>
          <w:rFonts w:ascii="PT Astra Serif" w:hAnsi="PT Astra Serif"/>
          <w:sz w:val="24"/>
          <w:szCs w:val="24"/>
        </w:rPr>
        <w:t xml:space="preserve">в </w:t>
      </w:r>
      <w:r w:rsidR="00E7574A">
        <w:rPr>
          <w:rFonts w:ascii="PT Astra Serif" w:hAnsi="PT Astra Serif"/>
          <w:sz w:val="24"/>
          <w:szCs w:val="24"/>
        </w:rPr>
        <w:t xml:space="preserve">Пролетарском </w:t>
      </w:r>
      <w:r w:rsidR="0069606B">
        <w:rPr>
          <w:rFonts w:ascii="PT Astra Serif" w:hAnsi="PT Astra Serif"/>
          <w:sz w:val="24"/>
          <w:szCs w:val="24"/>
        </w:rPr>
        <w:t xml:space="preserve">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DC4494">
        <w:rPr>
          <w:rFonts w:ascii="PT Astra Serif" w:hAnsi="PT Astra Serif" w:cs="Times New Roman"/>
          <w:sz w:val="24"/>
          <w:szCs w:val="24"/>
        </w:rPr>
        <w:br/>
      </w:r>
      <w:r w:rsidRPr="00DC1E1F">
        <w:rPr>
          <w:rFonts w:ascii="PT Astra Serif" w:hAnsi="PT Astra Serif" w:cs="Times New Roman"/>
          <w:sz w:val="24"/>
          <w:szCs w:val="24"/>
        </w:rPr>
        <w:t xml:space="preserve">о комплексном развитии </w:t>
      </w:r>
      <w:r w:rsidR="0069606B">
        <w:rPr>
          <w:rFonts w:ascii="PT Astra Serif" w:hAnsi="PT Astra Serif" w:cs="Times New Roman"/>
          <w:sz w:val="24"/>
          <w:szCs w:val="24"/>
        </w:rPr>
        <w:t xml:space="preserve">незастроенной </w:t>
      </w:r>
      <w:r w:rsidRPr="00DC1E1F">
        <w:rPr>
          <w:rFonts w:ascii="PT Astra Serif" w:hAnsi="PT Astra Serif" w:cs="Times New Roman"/>
          <w:sz w:val="24"/>
          <w:szCs w:val="24"/>
        </w:rPr>
        <w:t>территории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B152CD" w:rsidRPr="00B152CD" w:rsidRDefault="001A1AEC"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xml:space="preserve">- </w:t>
      </w:r>
      <w:r w:rsidR="00B152CD" w:rsidRPr="00B152CD">
        <w:rPr>
          <w:rFonts w:ascii="PT Astra Serif" w:hAnsi="PT Astra Serif"/>
          <w:sz w:val="24"/>
          <w:szCs w:val="24"/>
        </w:rPr>
        <w:t>среднеэтажная жилая застройка</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w:t>
      </w:r>
      <w:r>
        <w:t> </w:t>
      </w:r>
      <w:r w:rsidRPr="00B152CD">
        <w:rPr>
          <w:rFonts w:ascii="PT Astra Serif" w:hAnsi="PT Astra Serif"/>
          <w:sz w:val="24"/>
          <w:szCs w:val="24"/>
        </w:rPr>
        <w:t>многоэтажная жилая застройка (высотная застройка)</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предоставление коммунальных услуг</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дошкольное, начальное и среднее общее образование</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 xml:space="preserve">амбулаторно – </w:t>
      </w:r>
      <w:r w:rsidR="00E7574A">
        <w:rPr>
          <w:rFonts w:ascii="PT Astra Serif" w:hAnsi="PT Astra Serif"/>
          <w:sz w:val="24"/>
          <w:szCs w:val="24"/>
        </w:rPr>
        <w:t>поликлиническое обслуживание</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улично-дорожная сеть</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благоустройство территории</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обеспечение занятий спортом в помещениях</w:t>
      </w:r>
    </w:p>
    <w:p w:rsid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площадки для занятий спортом</w:t>
      </w:r>
      <w:r>
        <w:rPr>
          <w:rFonts w:ascii="PT Astra Serif" w:hAnsi="PT Astra Serif"/>
          <w:sz w:val="24"/>
          <w:szCs w:val="24"/>
        </w:rPr>
        <w:t>.</w:t>
      </w:r>
    </w:p>
    <w:p w:rsidR="00DC1E1F" w:rsidRPr="00DC1E1F" w:rsidRDefault="00DC1E1F" w:rsidP="00B152CD">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xml:space="preserve">- предельные (минимальные и (или) максимальные) размеры земельных участков </w:t>
      </w:r>
      <w:r w:rsidR="00DC4494">
        <w:rPr>
          <w:rFonts w:ascii="PT Astra Serif" w:hAnsi="PT Astra Serif" w:cs="Times New Roman"/>
          <w:sz w:val="24"/>
          <w:szCs w:val="24"/>
        </w:rPr>
        <w:br/>
      </w:r>
      <w:r w:rsidRPr="00E7574A">
        <w:rPr>
          <w:rFonts w:ascii="PT Astra Serif" w:hAnsi="PT Astra Serif" w:cs="Times New Roman"/>
          <w:sz w:val="24"/>
          <w:szCs w:val="24"/>
        </w:rPr>
        <w:t>не подлежат установлению;</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минимальные отступы от границ земельных участков не подлежат установлению;</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предельная высота зданий, строений, сооружений – 90 м;</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максимальный процент застройки в границах земельного участка – 40%.</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максимальный коэффициент застройки в границах территории комплексного развития – 0,4;</w:t>
      </w:r>
    </w:p>
    <w:p w:rsidR="00E7574A" w:rsidRPr="00E7574A"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максимальный коэффициент плотности застройки в границах территории комплексного развития – 2,5;</w:t>
      </w:r>
    </w:p>
    <w:p w:rsidR="00217104" w:rsidRPr="00DC1E1F" w:rsidRDefault="00E7574A" w:rsidP="00E7574A">
      <w:pPr>
        <w:pStyle w:val="ab"/>
        <w:ind w:firstLine="708"/>
        <w:jc w:val="both"/>
        <w:rPr>
          <w:rFonts w:ascii="PT Astra Serif" w:hAnsi="PT Astra Serif" w:cs="Times New Roman"/>
          <w:sz w:val="24"/>
          <w:szCs w:val="24"/>
        </w:rPr>
      </w:pPr>
      <w:r w:rsidRPr="00E7574A">
        <w:rPr>
          <w:rFonts w:ascii="PT Astra Serif" w:hAnsi="PT Astra Serif" w:cs="Times New Roman"/>
          <w:sz w:val="24"/>
          <w:szCs w:val="24"/>
        </w:rPr>
        <w:t>- минимальное количество машино-мест для хранения индивидуального автомобильного транспорта для жилой застройки на 1 квартиру – 0,4 машино-места.</w:t>
      </w:r>
    </w:p>
    <w:p w:rsidR="00317EBD" w:rsidRPr="005A22FA" w:rsidRDefault="00FD48C6" w:rsidP="006B3555">
      <w:pPr>
        <w:pStyle w:val="af1"/>
        <w:spacing w:before="0" w:after="0" w:line="240" w:lineRule="atLeast"/>
        <w:ind w:left="0" w:right="0" w:firstLine="709"/>
        <w:rPr>
          <w:rFonts w:ascii="PT Astra Serif" w:hAnsi="PT Astra Serif"/>
          <w:b/>
          <w:color w:val="auto"/>
          <w:sz w:val="24"/>
          <w:szCs w:val="24"/>
        </w:rPr>
      </w:pPr>
      <w:r w:rsidRPr="005A22FA">
        <w:rPr>
          <w:rFonts w:ascii="PT Astra Serif" w:hAnsi="PT Astra Serif"/>
          <w:b/>
          <w:color w:val="auto"/>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5A22FA">
        <w:rPr>
          <w:rFonts w:ascii="PT Astra Serif" w:hAnsi="PT Astra Serif"/>
          <w:b/>
          <w:color w:val="auto"/>
          <w:sz w:val="24"/>
          <w:szCs w:val="24"/>
        </w:rPr>
        <w:t>.</w:t>
      </w:r>
    </w:p>
    <w:p w:rsidR="006B3555" w:rsidRPr="005A22FA" w:rsidRDefault="006B3555" w:rsidP="006B3555">
      <w:pPr>
        <w:pStyle w:val="af1"/>
        <w:spacing w:before="0" w:after="0" w:line="240" w:lineRule="atLeast"/>
        <w:ind w:left="0" w:right="0" w:firstLine="709"/>
        <w:rPr>
          <w:rFonts w:ascii="PT Astra Serif" w:hAnsi="PT Astra Serif"/>
          <w:color w:val="auto"/>
          <w:sz w:val="24"/>
          <w:szCs w:val="24"/>
        </w:rPr>
      </w:pPr>
      <w:r w:rsidRPr="005A22FA">
        <w:rPr>
          <w:rFonts w:ascii="PT Astra Serif" w:hAnsi="PT Astra Serif"/>
          <w:color w:val="auto"/>
          <w:sz w:val="24"/>
          <w:szCs w:val="24"/>
        </w:rPr>
        <w:t xml:space="preserve">Согласно </w:t>
      </w:r>
      <w:r w:rsidR="005A22FA" w:rsidRPr="005A22FA">
        <w:rPr>
          <w:rFonts w:ascii="PT Astra Serif" w:hAnsi="PT Astra Serif"/>
          <w:color w:val="auto"/>
          <w:sz w:val="24"/>
          <w:szCs w:val="24"/>
        </w:rPr>
        <w:t>приложению №3</w:t>
      </w:r>
      <w:r w:rsidRPr="005A22FA">
        <w:rPr>
          <w:rFonts w:ascii="PT Astra Serif" w:hAnsi="PT Astra Serif"/>
          <w:color w:val="auto"/>
          <w:sz w:val="24"/>
          <w:szCs w:val="24"/>
        </w:rPr>
        <w:t xml:space="preserve"> к данному извещению.</w:t>
      </w:r>
    </w:p>
    <w:p w:rsidR="008B389D" w:rsidRPr="00BF7EE9" w:rsidRDefault="008B389D" w:rsidP="00317EBD">
      <w:pPr>
        <w:autoSpaceDE w:val="0"/>
        <w:autoSpaceDN w:val="0"/>
        <w:adjustRightInd w:val="0"/>
        <w:spacing w:after="0"/>
        <w:ind w:firstLine="709"/>
        <w:jc w:val="both"/>
        <w:rPr>
          <w:rFonts w:ascii="PT Astra Serif" w:hAnsi="PT Astra Serif"/>
          <w:sz w:val="24"/>
          <w:szCs w:val="24"/>
        </w:rPr>
      </w:pPr>
      <w:r w:rsidRPr="00BF7EE9">
        <w:rPr>
          <w:rFonts w:ascii="PT Astra Serif" w:hAnsi="PT Astra Serif"/>
          <w:b/>
          <w:sz w:val="24"/>
          <w:szCs w:val="24"/>
        </w:rPr>
        <w:t>Начальная цена предмета аукциона</w:t>
      </w:r>
      <w:r w:rsidR="00FF1A34" w:rsidRPr="00BF7EE9">
        <w:rPr>
          <w:rFonts w:ascii="PT Astra Serif" w:hAnsi="PT Astra Serif"/>
          <w:sz w:val="24"/>
          <w:szCs w:val="24"/>
        </w:rPr>
        <w:t xml:space="preserve">: </w:t>
      </w:r>
      <w:r w:rsidR="00BF7EE9" w:rsidRPr="00BF7EE9">
        <w:rPr>
          <w:rFonts w:ascii="PT Astra Serif" w:hAnsi="PT Astra Serif"/>
          <w:sz w:val="24"/>
          <w:szCs w:val="24"/>
        </w:rPr>
        <w:t>39 00</w:t>
      </w:r>
      <w:r w:rsidR="006929B5" w:rsidRPr="00BF7EE9">
        <w:rPr>
          <w:rFonts w:ascii="PT Astra Serif" w:hAnsi="PT Astra Serif"/>
          <w:sz w:val="24"/>
          <w:szCs w:val="24"/>
        </w:rPr>
        <w:t>0</w:t>
      </w:r>
      <w:r w:rsidR="00FF1A34" w:rsidRPr="00BF7EE9">
        <w:rPr>
          <w:rFonts w:ascii="PT Astra Serif" w:hAnsi="PT Astra Serif"/>
          <w:sz w:val="24"/>
          <w:szCs w:val="24"/>
        </w:rPr>
        <w:t> 000</w:t>
      </w:r>
      <w:r w:rsidRPr="00BF7EE9">
        <w:rPr>
          <w:rFonts w:ascii="PT Astra Serif" w:hAnsi="PT Astra Serif"/>
          <w:sz w:val="24"/>
          <w:szCs w:val="24"/>
        </w:rPr>
        <w:t xml:space="preserve"> (</w:t>
      </w:r>
      <w:r w:rsidR="00BF7EE9" w:rsidRPr="00BF7EE9">
        <w:rPr>
          <w:rFonts w:ascii="PT Astra Serif" w:hAnsi="PT Astra Serif"/>
          <w:sz w:val="24"/>
          <w:szCs w:val="24"/>
        </w:rPr>
        <w:t>тридцать девять</w:t>
      </w:r>
      <w:r w:rsidR="006929B5" w:rsidRPr="00BF7EE9">
        <w:rPr>
          <w:rFonts w:ascii="PT Astra Serif" w:hAnsi="PT Astra Serif"/>
          <w:sz w:val="24"/>
          <w:szCs w:val="24"/>
        </w:rPr>
        <w:t xml:space="preserve"> миллионов</w:t>
      </w:r>
      <w:r w:rsidRPr="00BF7EE9">
        <w:rPr>
          <w:rFonts w:ascii="PT Astra Serif" w:hAnsi="PT Astra Serif"/>
          <w:sz w:val="24"/>
          <w:szCs w:val="24"/>
        </w:rPr>
        <w:t xml:space="preserve">) рублей </w:t>
      </w:r>
      <w:r w:rsidR="00BF7EE9" w:rsidRPr="00BF7EE9">
        <w:rPr>
          <w:rFonts w:ascii="PT Astra Serif" w:hAnsi="PT Astra Serif"/>
          <w:sz w:val="24"/>
          <w:szCs w:val="24"/>
        </w:rPr>
        <w:br/>
      </w:r>
      <w:r w:rsidRPr="00BF7EE9">
        <w:rPr>
          <w:rFonts w:ascii="PT Astra Serif" w:hAnsi="PT Astra Serif"/>
          <w:sz w:val="24"/>
          <w:szCs w:val="24"/>
        </w:rPr>
        <w:t>00 ко</w:t>
      </w:r>
      <w:r w:rsidR="003C167D" w:rsidRPr="00BF7EE9">
        <w:rPr>
          <w:rFonts w:ascii="PT Astra Serif" w:hAnsi="PT Astra Serif"/>
          <w:sz w:val="24"/>
          <w:szCs w:val="24"/>
        </w:rPr>
        <w:t>пеек.</w:t>
      </w:r>
    </w:p>
    <w:p w:rsidR="008B389D" w:rsidRPr="00BF7EE9" w:rsidRDefault="008B389D" w:rsidP="008B389D">
      <w:pPr>
        <w:tabs>
          <w:tab w:val="left" w:pos="709"/>
        </w:tabs>
        <w:spacing w:after="0"/>
        <w:ind w:left="-3" w:right="108"/>
        <w:jc w:val="both"/>
        <w:rPr>
          <w:rFonts w:ascii="PT Astra Serif" w:hAnsi="PT Astra Serif"/>
          <w:sz w:val="24"/>
          <w:szCs w:val="24"/>
        </w:rPr>
      </w:pPr>
      <w:r w:rsidRPr="00BF7EE9">
        <w:rPr>
          <w:rFonts w:ascii="PT Astra Serif" w:hAnsi="PT Astra Serif"/>
          <w:b/>
          <w:sz w:val="24"/>
          <w:szCs w:val="24"/>
        </w:rPr>
        <w:tab/>
      </w:r>
      <w:r w:rsidR="00B151D1" w:rsidRPr="00BF7EE9">
        <w:rPr>
          <w:rFonts w:ascii="PT Astra Serif" w:hAnsi="PT Astra Serif"/>
          <w:b/>
          <w:sz w:val="24"/>
          <w:szCs w:val="24"/>
        </w:rPr>
        <w:t>Размер</w:t>
      </w:r>
      <w:r w:rsidRPr="00BF7EE9">
        <w:rPr>
          <w:rFonts w:ascii="PT Astra Serif" w:hAnsi="PT Astra Serif"/>
          <w:b/>
          <w:sz w:val="24"/>
          <w:szCs w:val="24"/>
        </w:rPr>
        <w:t xml:space="preserve"> задатка:</w:t>
      </w:r>
      <w:r w:rsidR="00B94312" w:rsidRPr="00BF7EE9">
        <w:rPr>
          <w:rFonts w:eastAsiaTheme="minorHAnsi"/>
          <w:sz w:val="28"/>
          <w:szCs w:val="28"/>
        </w:rPr>
        <w:t xml:space="preserve"> </w:t>
      </w:r>
      <w:r w:rsidR="006929B5" w:rsidRPr="00BF7EE9">
        <w:rPr>
          <w:rFonts w:ascii="PT Astra Serif" w:eastAsiaTheme="minorHAnsi" w:hAnsi="PT Astra Serif"/>
          <w:sz w:val="24"/>
          <w:szCs w:val="24"/>
        </w:rPr>
        <w:t>30</w:t>
      </w:r>
      <w:r w:rsidR="00B94312" w:rsidRPr="00BF7EE9">
        <w:rPr>
          <w:rFonts w:ascii="PT Astra Serif" w:eastAsiaTheme="minorHAnsi" w:hAnsi="PT Astra Serif"/>
          <w:sz w:val="24"/>
          <w:szCs w:val="24"/>
        </w:rPr>
        <w:t xml:space="preserve"> процентов от начальной цены предмета аукциона </w:t>
      </w:r>
      <w:r w:rsidR="006929B5" w:rsidRPr="00BF7EE9">
        <w:rPr>
          <w:rFonts w:ascii="PT Astra Serif" w:eastAsiaTheme="minorHAnsi" w:hAnsi="PT Astra Serif"/>
          <w:sz w:val="24"/>
          <w:szCs w:val="24"/>
        </w:rPr>
        <w:t>–</w:t>
      </w:r>
      <w:r w:rsidRPr="00BF7EE9">
        <w:rPr>
          <w:rFonts w:ascii="PT Astra Serif" w:hAnsi="PT Astra Serif"/>
          <w:sz w:val="24"/>
          <w:szCs w:val="24"/>
        </w:rPr>
        <w:t xml:space="preserve"> </w:t>
      </w:r>
      <w:r w:rsidR="006929B5" w:rsidRPr="00BF7EE9">
        <w:rPr>
          <w:rFonts w:ascii="PT Astra Serif" w:hAnsi="PT Astra Serif"/>
          <w:sz w:val="24"/>
          <w:szCs w:val="24"/>
        </w:rPr>
        <w:t>1</w:t>
      </w:r>
      <w:r w:rsidR="00BF7EE9" w:rsidRPr="00BF7EE9">
        <w:rPr>
          <w:rFonts w:ascii="PT Astra Serif" w:hAnsi="PT Astra Serif"/>
          <w:sz w:val="24"/>
          <w:szCs w:val="24"/>
        </w:rPr>
        <w:t>1</w:t>
      </w:r>
      <w:r w:rsidR="006929B5" w:rsidRPr="00BF7EE9">
        <w:rPr>
          <w:rFonts w:ascii="PT Astra Serif" w:hAnsi="PT Astra Serif"/>
          <w:sz w:val="24"/>
          <w:szCs w:val="24"/>
        </w:rPr>
        <w:t> </w:t>
      </w:r>
      <w:r w:rsidR="00BF7EE9" w:rsidRPr="00BF7EE9">
        <w:rPr>
          <w:rFonts w:ascii="PT Astra Serif" w:hAnsi="PT Astra Serif"/>
          <w:sz w:val="24"/>
          <w:szCs w:val="24"/>
        </w:rPr>
        <w:t>700</w:t>
      </w:r>
      <w:r w:rsidR="006929B5" w:rsidRPr="00BF7EE9">
        <w:rPr>
          <w:rFonts w:ascii="PT Astra Serif" w:hAnsi="PT Astra Serif"/>
          <w:sz w:val="24"/>
          <w:szCs w:val="24"/>
        </w:rPr>
        <w:t xml:space="preserve"> 000</w:t>
      </w:r>
      <w:r w:rsidR="00F63667" w:rsidRPr="00BF7EE9">
        <w:rPr>
          <w:rFonts w:ascii="PT Astra Serif" w:hAnsi="PT Astra Serif"/>
          <w:sz w:val="24"/>
          <w:szCs w:val="24"/>
        </w:rPr>
        <w:t xml:space="preserve"> </w:t>
      </w:r>
      <w:r w:rsidR="00F63667" w:rsidRPr="00BF7EE9">
        <w:rPr>
          <w:rFonts w:ascii="PT Astra Serif" w:hAnsi="PT Astra Serif"/>
          <w:sz w:val="24"/>
          <w:szCs w:val="24"/>
        </w:rPr>
        <w:br/>
        <w:t>(</w:t>
      </w:r>
      <w:r w:rsidR="006929B5" w:rsidRPr="00BF7EE9">
        <w:rPr>
          <w:rFonts w:ascii="PT Astra Serif" w:hAnsi="PT Astra Serif"/>
          <w:sz w:val="24"/>
          <w:szCs w:val="24"/>
        </w:rPr>
        <w:t>один</w:t>
      </w:r>
      <w:r w:rsidR="00BF7EE9" w:rsidRPr="00BF7EE9">
        <w:rPr>
          <w:rFonts w:ascii="PT Astra Serif" w:hAnsi="PT Astra Serif"/>
          <w:sz w:val="24"/>
          <w:szCs w:val="24"/>
        </w:rPr>
        <w:t>надцать</w:t>
      </w:r>
      <w:r w:rsidR="006929B5" w:rsidRPr="00BF7EE9">
        <w:rPr>
          <w:rFonts w:ascii="PT Astra Serif" w:hAnsi="PT Astra Serif"/>
          <w:sz w:val="24"/>
          <w:szCs w:val="24"/>
        </w:rPr>
        <w:t xml:space="preserve"> </w:t>
      </w:r>
      <w:r w:rsidRPr="00BF7EE9">
        <w:rPr>
          <w:rFonts w:ascii="PT Astra Serif" w:hAnsi="PT Astra Serif"/>
          <w:sz w:val="24"/>
          <w:szCs w:val="24"/>
        </w:rPr>
        <w:t>милли</w:t>
      </w:r>
      <w:r w:rsidR="006929B5" w:rsidRPr="00BF7EE9">
        <w:rPr>
          <w:rFonts w:ascii="PT Astra Serif" w:hAnsi="PT Astra Serif"/>
          <w:sz w:val="24"/>
          <w:szCs w:val="24"/>
        </w:rPr>
        <w:t>он</w:t>
      </w:r>
      <w:r w:rsidR="00BF7EE9" w:rsidRPr="00BF7EE9">
        <w:rPr>
          <w:rFonts w:ascii="PT Astra Serif" w:hAnsi="PT Astra Serif"/>
          <w:sz w:val="24"/>
          <w:szCs w:val="24"/>
        </w:rPr>
        <w:t>ов</w:t>
      </w:r>
      <w:r w:rsidR="00F63667" w:rsidRPr="00BF7EE9">
        <w:rPr>
          <w:rFonts w:ascii="PT Astra Serif" w:hAnsi="PT Astra Serif"/>
          <w:sz w:val="24"/>
          <w:szCs w:val="24"/>
        </w:rPr>
        <w:t xml:space="preserve"> </w:t>
      </w:r>
      <w:r w:rsidR="00BF7EE9" w:rsidRPr="00BF7EE9">
        <w:rPr>
          <w:rFonts w:ascii="PT Astra Serif" w:hAnsi="PT Astra Serif"/>
          <w:sz w:val="24"/>
          <w:szCs w:val="24"/>
        </w:rPr>
        <w:t>семьсот</w:t>
      </w:r>
      <w:r w:rsidR="000A26EE" w:rsidRPr="00BF7EE9">
        <w:rPr>
          <w:rFonts w:ascii="PT Astra Serif" w:hAnsi="PT Astra Serif"/>
          <w:sz w:val="24"/>
          <w:szCs w:val="24"/>
        </w:rPr>
        <w:t xml:space="preserve"> тысяч) рублей 00 копеек</w:t>
      </w:r>
      <w:r w:rsidR="003C167D" w:rsidRPr="00BF7EE9">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DC4494">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w:t>
      </w:r>
      <w:r w:rsidRPr="00A324E6">
        <w:rPr>
          <w:rFonts w:ascii="PT Astra Serif" w:eastAsiaTheme="minorHAnsi" w:hAnsi="PT Astra Serif" w:cs="PT Astra Serif"/>
          <w:bCs/>
          <w:sz w:val="24"/>
          <w:szCs w:val="24"/>
        </w:rPr>
        <w:lastRenderedPageBreak/>
        <w:t>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DC4494">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FD0C7F"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FD0C7F">
        <w:rPr>
          <w:rFonts w:ascii="PT Astra Serif" w:eastAsia="Calibri" w:hAnsi="PT Astra Serif"/>
          <w:sz w:val="24"/>
          <w:szCs w:val="24"/>
          <w:lang w:val="ru-RU"/>
        </w:rPr>
        <w:t xml:space="preserve">5 процентов </w:t>
      </w:r>
      <w:r w:rsidR="00742164" w:rsidRPr="00FD0C7F">
        <w:rPr>
          <w:rFonts w:ascii="PT Astra Serif" w:eastAsia="Calibri" w:hAnsi="PT Astra Serif"/>
          <w:sz w:val="24"/>
          <w:szCs w:val="24"/>
          <w:lang w:val="ru-RU"/>
        </w:rPr>
        <w:t xml:space="preserve">от </w:t>
      </w:r>
      <w:r w:rsidRPr="00FD0C7F">
        <w:rPr>
          <w:rFonts w:ascii="PT Astra Serif" w:eastAsia="Calibri" w:hAnsi="PT Astra Serif"/>
          <w:sz w:val="24"/>
          <w:szCs w:val="24"/>
          <w:lang w:val="ru-RU"/>
        </w:rPr>
        <w:t xml:space="preserve">начальной цены предмета аукциона </w:t>
      </w:r>
      <w:r w:rsidR="00FD0C7F" w:rsidRPr="00FD0C7F">
        <w:rPr>
          <w:rFonts w:ascii="PT Astra Serif" w:eastAsia="Calibri" w:hAnsi="PT Astra Serif"/>
          <w:sz w:val="24"/>
          <w:szCs w:val="24"/>
          <w:lang w:val="ru-RU"/>
        </w:rPr>
        <w:t>–</w:t>
      </w:r>
      <w:r w:rsidRPr="00FD0C7F">
        <w:rPr>
          <w:rFonts w:ascii="PT Astra Serif" w:eastAsia="Calibri" w:hAnsi="PT Astra Serif"/>
          <w:sz w:val="24"/>
          <w:szCs w:val="24"/>
          <w:lang w:val="ru-RU"/>
        </w:rPr>
        <w:t xml:space="preserve"> </w:t>
      </w:r>
      <w:r w:rsidR="00FD0C7F" w:rsidRPr="00FD0C7F">
        <w:rPr>
          <w:rFonts w:ascii="PT Astra Serif" w:eastAsia="Calibri" w:hAnsi="PT Astra Serif"/>
          <w:sz w:val="24"/>
          <w:szCs w:val="24"/>
          <w:lang w:val="ru-RU"/>
        </w:rPr>
        <w:t>1 950 000</w:t>
      </w:r>
      <w:r w:rsidRPr="00FD0C7F">
        <w:rPr>
          <w:rFonts w:ascii="PT Astra Serif" w:eastAsia="Calibri" w:hAnsi="PT Astra Serif"/>
          <w:sz w:val="24"/>
          <w:szCs w:val="24"/>
          <w:lang w:val="ru-RU"/>
        </w:rPr>
        <w:t xml:space="preserve"> (</w:t>
      </w:r>
      <w:r w:rsidR="00FD0C7F" w:rsidRPr="00FD0C7F">
        <w:rPr>
          <w:rFonts w:ascii="PT Astra Serif" w:eastAsia="Calibri" w:hAnsi="PT Astra Serif"/>
          <w:sz w:val="24"/>
          <w:szCs w:val="24"/>
          <w:lang w:val="ru-RU"/>
        </w:rPr>
        <w:t>один миллион девятьсот пятьдесят</w:t>
      </w:r>
      <w:r w:rsidR="003C167D" w:rsidRPr="00FD0C7F">
        <w:rPr>
          <w:rFonts w:ascii="PT Astra Serif" w:eastAsia="Calibri" w:hAnsi="PT Astra Serif"/>
          <w:sz w:val="24"/>
          <w:szCs w:val="24"/>
          <w:lang w:val="ru-RU"/>
        </w:rPr>
        <w:t xml:space="preserve"> тысяч)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0219CD">
      <w:pPr>
        <w:pStyle w:val="af"/>
        <w:ind w:left="0" w:right="1" w:firstLine="708"/>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КРТ </w:t>
      </w:r>
      <w:r w:rsidR="00AE1FED">
        <w:rPr>
          <w:rFonts w:ascii="PT Astra Serif" w:hAnsi="PT Astra Serif"/>
          <w:sz w:val="24"/>
          <w:szCs w:val="24"/>
          <w:lang w:val="ru-RU"/>
        </w:rPr>
        <w:t xml:space="preserve">Венёвское шоссе </w:t>
      </w:r>
      <w:r w:rsidR="000219CD">
        <w:rPr>
          <w:rFonts w:ascii="PT Astra Serif" w:hAnsi="PT Astra Serif"/>
          <w:sz w:val="24"/>
          <w:szCs w:val="24"/>
          <w:lang w:val="ru-RU"/>
        </w:rPr>
        <w:br/>
      </w:r>
      <w:r w:rsidR="00AE1FED">
        <w:rPr>
          <w:rFonts w:ascii="PT Astra Serif" w:hAnsi="PT Astra Serif"/>
          <w:sz w:val="24"/>
          <w:szCs w:val="24"/>
          <w:lang w:val="ru-RU"/>
        </w:rPr>
        <w:t xml:space="preserve">и ул. </w:t>
      </w:r>
      <w:r w:rsidR="000219CD">
        <w:rPr>
          <w:rFonts w:ascii="PT Astra Serif" w:hAnsi="PT Astra Serif"/>
          <w:sz w:val="24"/>
          <w:szCs w:val="24"/>
          <w:lang w:val="ru-RU"/>
        </w:rPr>
        <w:t>С</w:t>
      </w:r>
      <w:r w:rsidR="00AE1FED">
        <w:rPr>
          <w:rFonts w:ascii="PT Astra Serif" w:hAnsi="PT Astra Serif"/>
          <w:sz w:val="24"/>
          <w:szCs w:val="24"/>
          <w:lang w:val="ru-RU"/>
        </w:rPr>
        <w:t>ызранская</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00DC4494">
        <w:rPr>
          <w:rFonts w:ascii="PT Astra Serif" w:hAnsi="PT Astra Serif"/>
          <w:sz w:val="24"/>
          <w:szCs w:val="24"/>
        </w:rPr>
        <w:br/>
      </w:r>
      <w:r w:rsidRPr="00A324E6">
        <w:rPr>
          <w:rFonts w:ascii="PT Astra Serif" w:hAnsi="PT Astra Serif"/>
          <w:sz w:val="24"/>
          <w:szCs w:val="24"/>
        </w:rPr>
        <w:t xml:space="preserve">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w:t>
      </w:r>
      <w:r w:rsidR="00DC4494">
        <w:rPr>
          <w:rFonts w:ascii="PT Astra Serif" w:hAnsi="PT Astra Serif"/>
          <w:sz w:val="24"/>
          <w:szCs w:val="24"/>
        </w:rPr>
        <w:br/>
      </w:r>
      <w:r w:rsidRPr="00A324E6">
        <w:rPr>
          <w:rFonts w:ascii="PT Astra Serif" w:hAnsi="PT Astra Serif"/>
          <w:sz w:val="24"/>
          <w:szCs w:val="24"/>
        </w:rPr>
        <w:t xml:space="preserve">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rPr>
        <w:t>- у</w:t>
      </w:r>
      <w:r w:rsidRPr="00A324E6">
        <w:rPr>
          <w:rFonts w:ascii="PT Astra Serif" w:hAnsi="PT Astra Serif"/>
          <w:sz w:val="24"/>
          <w:szCs w:val="24"/>
          <w:lang w:eastAsia="ru-RU"/>
        </w:rPr>
        <w:t>частником торгов может являться</w:t>
      </w:r>
      <w:r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DC4494">
        <w:rPr>
          <w:rFonts w:ascii="PT Astra Serif" w:hAnsi="PT Astra Serif"/>
          <w:sz w:val="24"/>
          <w:szCs w:val="24"/>
        </w:rPr>
        <w:br/>
      </w:r>
      <w:r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DC4494">
        <w:rPr>
          <w:rFonts w:ascii="PT Astra Serif" w:hAnsi="PT Astra Serif"/>
          <w:sz w:val="24"/>
          <w:szCs w:val="24"/>
        </w:rPr>
        <w:br/>
      </w:r>
      <w:r w:rsidRPr="00A324E6">
        <w:rPr>
          <w:rFonts w:ascii="PT Astra Serif" w:hAnsi="PT Astra Serif"/>
          <w:sz w:val="24"/>
          <w:szCs w:val="24"/>
        </w:rPr>
        <w:t xml:space="preserve">в деле о банкротстве в соответствии с Федеральным </w:t>
      </w:r>
      <w:hyperlink r:id="rId10"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DC4494">
        <w:rPr>
          <w:rFonts w:ascii="PT Astra Serif" w:hAnsi="PT Astra Serif"/>
          <w:sz w:val="24"/>
          <w:szCs w:val="24"/>
        </w:rPr>
        <w:br/>
      </w:r>
      <w:r w:rsidRPr="00A324E6">
        <w:rPr>
          <w:rFonts w:ascii="PT Astra Serif" w:hAnsi="PT Astra Serif"/>
          <w:sz w:val="24"/>
          <w:szCs w:val="24"/>
        </w:rPr>
        <w:t>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DC4494">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r w:rsidR="00DC4494">
        <w:rPr>
          <w:rFonts w:ascii="PT Astra Serif" w:hAnsi="PT Astra Serif"/>
          <w:sz w:val="24"/>
          <w:szCs w:val="24"/>
        </w:rPr>
        <w:br/>
      </w:r>
      <w:r w:rsidR="00331621"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DC4494">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DC4494">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1. 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Pr="00A324E6">
        <w:rPr>
          <w:rFonts w:ascii="PT Astra Serif" w:hAnsi="PT Astra Serif" w:cs="Calibri"/>
          <w:sz w:val="24"/>
          <w:szCs w:val="24"/>
        </w:rPr>
        <w:t xml:space="preserve">извещении </w:t>
      </w:r>
      <w:r w:rsidR="00DC4494">
        <w:rPr>
          <w:rFonts w:ascii="PT Astra Serif" w:hAnsi="PT Astra Serif" w:cs="Calibri"/>
          <w:sz w:val="24"/>
          <w:szCs w:val="24"/>
        </w:rPr>
        <w:br/>
      </w:r>
      <w:r w:rsidRPr="00A324E6">
        <w:rPr>
          <w:rFonts w:ascii="PT Astra Serif" w:hAnsi="PT Astra Serif" w:cs="Calibri"/>
          <w:sz w:val="24"/>
          <w:szCs w:val="24"/>
        </w:rPr>
        <w:t>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3. документы</w:t>
      </w:r>
      <w:r w:rsidR="00B152CD">
        <w:rPr>
          <w:rFonts w:ascii="PT Astra Serif" w:hAnsi="PT Astra Serif" w:cs="Calibri"/>
          <w:sz w:val="24"/>
          <w:szCs w:val="24"/>
        </w:rPr>
        <w:t xml:space="preserve"> (</w:t>
      </w:r>
      <w:r w:rsidR="00B152CD" w:rsidRPr="00B152CD">
        <w:rPr>
          <w:rFonts w:ascii="PT Astra Serif" w:hAnsi="PT Astra Serif" w:cs="Calibri"/>
          <w:sz w:val="24"/>
          <w:szCs w:val="24"/>
        </w:rPr>
        <w:t>справка ФНС России</w:t>
      </w:r>
      <w:r w:rsidR="00B152CD">
        <w:rPr>
          <w:rFonts w:ascii="PT Astra Serif" w:hAnsi="PT Astra Serif" w:cs="Calibri"/>
          <w:sz w:val="24"/>
          <w:szCs w:val="24"/>
        </w:rPr>
        <w:t>)</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DC4494">
        <w:rPr>
          <w:rFonts w:ascii="PT Astra Serif" w:hAnsi="PT Astra Serif" w:cs="Calibri"/>
          <w:sz w:val="24"/>
          <w:szCs w:val="24"/>
        </w:rPr>
        <w:br/>
      </w:r>
      <w:r w:rsidRPr="00A324E6">
        <w:rPr>
          <w:rFonts w:ascii="PT Astra Serif" w:hAnsi="PT Astra Serif" w:cs="Calibri"/>
          <w:sz w:val="24"/>
          <w:szCs w:val="24"/>
        </w:rPr>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DC4494">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DC4494">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DC4494">
        <w:rPr>
          <w:rFonts w:ascii="PT Astra Serif" w:hAnsi="PT Astra Serif" w:cs="Calibri"/>
          <w:sz w:val="24"/>
          <w:szCs w:val="24"/>
        </w:rPr>
        <w:br/>
      </w:r>
      <w:r w:rsidRPr="00A324E6">
        <w:rPr>
          <w:rFonts w:ascii="PT Astra Serif" w:hAnsi="PT Astra Serif" w:cs="Calibri"/>
          <w:sz w:val="24"/>
          <w:szCs w:val="24"/>
        </w:rPr>
        <w:t xml:space="preserve">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DC4494">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DC4494">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DC4494">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DC4494">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DC4494">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DC4494">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DC4494">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DC4494">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DC4494">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DC4494">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DC4494">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DC4494">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0" w:name="Par104"/>
      <w:bookmarkEnd w:id="0"/>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w:t>
      </w:r>
      <w:r w:rsidR="00DC4494">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DC4494">
        <w:rPr>
          <w:rFonts w:ascii="PT Astra Serif" w:hAnsi="PT Astra Serif" w:cs="Calibri"/>
          <w:sz w:val="24"/>
          <w:szCs w:val="24"/>
        </w:rPr>
        <w:br/>
      </w:r>
      <w:r w:rsidR="00E83F47" w:rsidRPr="00A324E6">
        <w:rPr>
          <w:rFonts w:ascii="PT Astra Serif" w:hAnsi="PT Astra Serif" w:cs="Calibri"/>
          <w:sz w:val="24"/>
          <w:szCs w:val="24"/>
        </w:rPr>
        <w:t>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7E05C3">
        <w:rPr>
          <w:rFonts w:ascii="PT Astra Serif" w:hAnsi="PT Astra Serif" w:cs="Calibri"/>
          <w:sz w:val="24"/>
          <w:szCs w:val="24"/>
        </w:rPr>
        <w:t> </w:t>
      </w:r>
      <w:r w:rsidR="00E83F47" w:rsidRPr="00A324E6">
        <w:rPr>
          <w:rFonts w:ascii="PT Astra Serif" w:hAnsi="PT Astra Serif" w:cs="Calibri"/>
          <w:sz w:val="24"/>
          <w:szCs w:val="24"/>
        </w:rPr>
        <w:t xml:space="preserve">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DC4494">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DC4494">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DC4494">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DC4494">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DC4494">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DC4494">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DC4494">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r w:rsidR="00DC4494">
        <w:rPr>
          <w:rFonts w:ascii="PT Astra Serif" w:hAnsi="PT Astra Serif" w:cs="Calibri"/>
          <w:sz w:val="24"/>
          <w:szCs w:val="24"/>
        </w:rPr>
        <w:br/>
      </w:r>
      <w:r w:rsidR="00E83F47"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DC4494">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DC4494">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на электронный адрес оператора электронной площадки, указанный в Извещении, запрос </w:t>
      </w:r>
      <w:r w:rsidR="00DC4494">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DC4494">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DC4494">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E05C3">
        <w:rPr>
          <w:rFonts w:ascii="PT Astra Serif" w:hAnsi="PT Astra Serif"/>
          <w:sz w:val="24"/>
          <w:szCs w:val="24"/>
        </w:rPr>
        <w:t> </w:t>
      </w:r>
      <w:r w:rsidR="00770148" w:rsidRPr="00770148">
        <w:rPr>
          <w:rFonts w:ascii="PT Astra Serif" w:hAnsi="PT Astra Serif"/>
          <w:sz w:val="24"/>
          <w:szCs w:val="24"/>
        </w:rPr>
        <w:t xml:space="preserve">не подано ни одной заявки на участие в торгах либо принято решение об отказе </w:t>
      </w:r>
      <w:r w:rsidR="00DC4494">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E05C3">
        <w:rPr>
          <w:rFonts w:ascii="PT Astra Serif" w:hAnsi="PT Astra Serif"/>
          <w:sz w:val="24"/>
          <w:szCs w:val="24"/>
        </w:rPr>
        <w:t> </w:t>
      </w:r>
      <w:r w:rsidR="00770148" w:rsidRPr="00770148">
        <w:rPr>
          <w:rFonts w:ascii="PT Astra Serif" w:hAnsi="PT Astra Serif"/>
          <w:sz w:val="24"/>
          <w:szCs w:val="24"/>
        </w:rPr>
        <w:t>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DC4494">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DC4494">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DC4494">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DC4494">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7E05C3" w:rsidRDefault="003B2682" w:rsidP="001B7BCE">
      <w:pPr>
        <w:autoSpaceDE w:val="0"/>
        <w:autoSpaceDN w:val="0"/>
        <w:adjustRightInd w:val="0"/>
        <w:spacing w:after="0" w:line="240" w:lineRule="auto"/>
        <w:ind w:firstLine="709"/>
        <w:jc w:val="both"/>
        <w:rPr>
          <w:rFonts w:ascii="PT Astra Serif" w:hAnsi="PT Astra Serif"/>
          <w:b/>
          <w:bCs/>
          <w:sz w:val="24"/>
          <w:szCs w:val="24"/>
        </w:rPr>
      </w:pPr>
      <w:bookmarkStart w:id="1" w:name="_GoBack"/>
      <w:r w:rsidRPr="007E05C3">
        <w:rPr>
          <w:rFonts w:ascii="PT Astra Serif" w:hAnsi="PT Astra Serif"/>
          <w:b/>
          <w:bCs/>
          <w:sz w:val="24"/>
          <w:szCs w:val="24"/>
        </w:rPr>
        <w:t xml:space="preserve">Приложения к извещению. </w:t>
      </w:r>
    </w:p>
    <w:p w:rsidR="00517884" w:rsidRPr="007E05C3"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7E05C3">
        <w:rPr>
          <w:rFonts w:ascii="PT Astra Serif" w:hAnsi="PT Astra Serif"/>
          <w:sz w:val="24"/>
          <w:szCs w:val="24"/>
        </w:rPr>
        <w:t>Форма заявки – приложение №1;</w:t>
      </w:r>
    </w:p>
    <w:p w:rsidR="00BD536C" w:rsidRPr="007E05C3" w:rsidRDefault="00517884" w:rsidP="00517884">
      <w:pPr>
        <w:spacing w:after="0" w:line="240" w:lineRule="auto"/>
        <w:ind w:left="57" w:firstLine="652"/>
        <w:jc w:val="both"/>
        <w:rPr>
          <w:rFonts w:ascii="PT Astra Serif" w:hAnsi="PT Astra Serif"/>
          <w:sz w:val="24"/>
          <w:szCs w:val="24"/>
        </w:rPr>
      </w:pPr>
      <w:r w:rsidRPr="007E05C3">
        <w:rPr>
          <w:rFonts w:ascii="PT Astra Serif" w:hAnsi="PT Astra Serif"/>
          <w:sz w:val="24"/>
          <w:szCs w:val="24"/>
        </w:rPr>
        <w:t>Проект договора – приложение №2</w:t>
      </w:r>
      <w:r w:rsidR="009412DA" w:rsidRPr="007E05C3">
        <w:rPr>
          <w:rFonts w:ascii="PT Astra Serif" w:hAnsi="PT Astra Serif"/>
          <w:sz w:val="24"/>
          <w:szCs w:val="24"/>
        </w:rPr>
        <w:t>;</w:t>
      </w:r>
    </w:p>
    <w:p w:rsidR="00503AF8" w:rsidRPr="007E05C3" w:rsidRDefault="00BB561B" w:rsidP="002044D2">
      <w:pPr>
        <w:spacing w:after="0" w:line="240" w:lineRule="auto"/>
        <w:ind w:left="57" w:firstLine="652"/>
        <w:jc w:val="both"/>
        <w:rPr>
          <w:rFonts w:ascii="PT Astra Serif" w:hAnsi="PT Astra Serif"/>
          <w:sz w:val="24"/>
          <w:szCs w:val="24"/>
        </w:rPr>
      </w:pPr>
      <w:r w:rsidRPr="007E05C3">
        <w:rPr>
          <w:rFonts w:ascii="PT Astra Serif" w:hAnsi="PT Astra Serif"/>
          <w:sz w:val="24"/>
          <w:szCs w:val="24"/>
        </w:rPr>
        <w:t xml:space="preserve">Перечень и содержание ограничений использования, обременений прав, содержащихся </w:t>
      </w:r>
      <w:r w:rsidR="00DC4494" w:rsidRPr="007E05C3">
        <w:rPr>
          <w:rFonts w:ascii="PT Astra Serif" w:hAnsi="PT Astra Serif"/>
          <w:sz w:val="24"/>
          <w:szCs w:val="24"/>
        </w:rPr>
        <w:br/>
      </w:r>
      <w:r w:rsidRPr="007E05C3">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DC4494" w:rsidRPr="007E05C3">
        <w:rPr>
          <w:rFonts w:ascii="PT Astra Serif" w:hAnsi="PT Astra Serif"/>
          <w:sz w:val="24"/>
          <w:szCs w:val="24"/>
        </w:rPr>
        <w:br/>
      </w:r>
      <w:r w:rsidRPr="007E05C3">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DC4494" w:rsidRPr="007E05C3">
        <w:rPr>
          <w:rFonts w:ascii="PT Astra Serif" w:hAnsi="PT Astra Serif"/>
          <w:sz w:val="24"/>
          <w:szCs w:val="24"/>
        </w:rPr>
        <w:br/>
      </w:r>
      <w:r w:rsidRPr="007E05C3">
        <w:rPr>
          <w:rFonts w:ascii="PT Astra Serif" w:hAnsi="PT Astra Serif"/>
          <w:sz w:val="24"/>
          <w:szCs w:val="24"/>
        </w:rPr>
        <w:t>о комплексном развитии территории – приложение №3.</w:t>
      </w:r>
    </w:p>
    <w:bookmarkEnd w:id="1"/>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19CD"/>
    <w:rsid w:val="00023BDD"/>
    <w:rsid w:val="0003534A"/>
    <w:rsid w:val="00042E34"/>
    <w:rsid w:val="00045FC9"/>
    <w:rsid w:val="000463A1"/>
    <w:rsid w:val="000573DA"/>
    <w:rsid w:val="00083AED"/>
    <w:rsid w:val="00093E44"/>
    <w:rsid w:val="00097E67"/>
    <w:rsid w:val="000A1365"/>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2B48"/>
    <w:rsid w:val="001D46E2"/>
    <w:rsid w:val="001D7767"/>
    <w:rsid w:val="001E23D2"/>
    <w:rsid w:val="001E24A6"/>
    <w:rsid w:val="001F3EF7"/>
    <w:rsid w:val="00200480"/>
    <w:rsid w:val="00203141"/>
    <w:rsid w:val="002044D2"/>
    <w:rsid w:val="002045C5"/>
    <w:rsid w:val="0020695B"/>
    <w:rsid w:val="00210BBE"/>
    <w:rsid w:val="00214B12"/>
    <w:rsid w:val="00217104"/>
    <w:rsid w:val="00222501"/>
    <w:rsid w:val="00223C43"/>
    <w:rsid w:val="002251C9"/>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41E92"/>
    <w:rsid w:val="003516A9"/>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2FA"/>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06B"/>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37C6"/>
    <w:rsid w:val="00714BED"/>
    <w:rsid w:val="00722FDB"/>
    <w:rsid w:val="0073396C"/>
    <w:rsid w:val="007362B4"/>
    <w:rsid w:val="0073761A"/>
    <w:rsid w:val="00742164"/>
    <w:rsid w:val="00743139"/>
    <w:rsid w:val="00745BA9"/>
    <w:rsid w:val="007472A4"/>
    <w:rsid w:val="00750643"/>
    <w:rsid w:val="007547A1"/>
    <w:rsid w:val="00754A4F"/>
    <w:rsid w:val="0075731B"/>
    <w:rsid w:val="0076174A"/>
    <w:rsid w:val="00770148"/>
    <w:rsid w:val="00780D10"/>
    <w:rsid w:val="0078571E"/>
    <w:rsid w:val="007976F7"/>
    <w:rsid w:val="007A212F"/>
    <w:rsid w:val="007A31C1"/>
    <w:rsid w:val="007C1F31"/>
    <w:rsid w:val="007C51C7"/>
    <w:rsid w:val="007C6676"/>
    <w:rsid w:val="007D11BC"/>
    <w:rsid w:val="007D2AC9"/>
    <w:rsid w:val="007D566E"/>
    <w:rsid w:val="007D67A4"/>
    <w:rsid w:val="007E05C3"/>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6A6A"/>
    <w:rsid w:val="00987163"/>
    <w:rsid w:val="00987291"/>
    <w:rsid w:val="00990466"/>
    <w:rsid w:val="00990C93"/>
    <w:rsid w:val="00996F0C"/>
    <w:rsid w:val="009A2A36"/>
    <w:rsid w:val="009A5B7A"/>
    <w:rsid w:val="009B0809"/>
    <w:rsid w:val="009C1652"/>
    <w:rsid w:val="009C20C5"/>
    <w:rsid w:val="009C3B8F"/>
    <w:rsid w:val="009D00D4"/>
    <w:rsid w:val="009D2141"/>
    <w:rsid w:val="009E0D42"/>
    <w:rsid w:val="009E7979"/>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E1FED"/>
    <w:rsid w:val="00AF23FB"/>
    <w:rsid w:val="00AF30BA"/>
    <w:rsid w:val="00AF35C3"/>
    <w:rsid w:val="00AF7DE0"/>
    <w:rsid w:val="00B02ACE"/>
    <w:rsid w:val="00B100E8"/>
    <w:rsid w:val="00B12E7B"/>
    <w:rsid w:val="00B151D1"/>
    <w:rsid w:val="00B152CD"/>
    <w:rsid w:val="00B1626C"/>
    <w:rsid w:val="00B162F7"/>
    <w:rsid w:val="00B256CC"/>
    <w:rsid w:val="00B328BA"/>
    <w:rsid w:val="00B35AD9"/>
    <w:rsid w:val="00B518FD"/>
    <w:rsid w:val="00B57E6E"/>
    <w:rsid w:val="00B618A1"/>
    <w:rsid w:val="00B73BCA"/>
    <w:rsid w:val="00B74384"/>
    <w:rsid w:val="00B8206A"/>
    <w:rsid w:val="00B93CDD"/>
    <w:rsid w:val="00B94312"/>
    <w:rsid w:val="00BA1FBF"/>
    <w:rsid w:val="00BB06A7"/>
    <w:rsid w:val="00BB2B64"/>
    <w:rsid w:val="00BB561B"/>
    <w:rsid w:val="00BB641C"/>
    <w:rsid w:val="00BB6D36"/>
    <w:rsid w:val="00BC1C6C"/>
    <w:rsid w:val="00BC5991"/>
    <w:rsid w:val="00BD536C"/>
    <w:rsid w:val="00BE2817"/>
    <w:rsid w:val="00BF7EE9"/>
    <w:rsid w:val="00C01BB5"/>
    <w:rsid w:val="00C0494B"/>
    <w:rsid w:val="00C053D1"/>
    <w:rsid w:val="00C05648"/>
    <w:rsid w:val="00C2027A"/>
    <w:rsid w:val="00C248D9"/>
    <w:rsid w:val="00C27451"/>
    <w:rsid w:val="00C315B1"/>
    <w:rsid w:val="00C32867"/>
    <w:rsid w:val="00C37552"/>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CF5FC8"/>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C4494"/>
    <w:rsid w:val="00DD1295"/>
    <w:rsid w:val="00DD6CB1"/>
    <w:rsid w:val="00DD7477"/>
    <w:rsid w:val="00DF4102"/>
    <w:rsid w:val="00DF4863"/>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7574A"/>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0C7F"/>
    <w:rsid w:val="00FD1E12"/>
    <w:rsid w:val="00FD351A"/>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A82C8"/>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96823-4BDE-4F24-BFA8-9A9D2DC06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8</Pages>
  <Words>4681</Words>
  <Characters>26688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439</cp:revision>
  <cp:lastPrinted>2024-12-20T13:39:00Z</cp:lastPrinted>
  <dcterms:created xsi:type="dcterms:W3CDTF">2023-09-06T06:30:00Z</dcterms:created>
  <dcterms:modified xsi:type="dcterms:W3CDTF">2025-07-21T08:51:00Z</dcterms:modified>
</cp:coreProperties>
</file>